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37C9B" w14:textId="6358DC75" w:rsidR="009C5D1B" w:rsidRPr="00F94044" w:rsidRDefault="009C5D1B" w:rsidP="009C5D1B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</w:t>
      </w:r>
      <w:r w:rsidR="00D85BDC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bis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F03047" w:rsidRPr="00F03047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R1-2109960</w:t>
      </w:r>
    </w:p>
    <w:p w14:paraId="054329EE" w14:textId="77777777" w:rsidR="00D85BDC" w:rsidRDefault="00D85BDC" w:rsidP="00D85BDC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11 – 19 October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0A987EE7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5336D3">
        <w:rPr>
          <w:rFonts w:ascii="Arial" w:hAnsi="Arial"/>
          <w:sz w:val="28"/>
          <w:szCs w:val="28"/>
          <w:lang w:val="en-US"/>
        </w:rPr>
        <w:t>5</w:t>
      </w:r>
      <w:r w:rsidR="008D0BD1">
        <w:rPr>
          <w:rFonts w:ascii="Arial" w:hAnsi="Arial"/>
          <w:sz w:val="28"/>
          <w:szCs w:val="28"/>
          <w:lang w:val="en-US"/>
        </w:rPr>
        <w:t>.2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B73F02C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5336D3">
        <w:rPr>
          <w:rFonts w:ascii="Arial" w:hAnsi="Arial"/>
          <w:sz w:val="28"/>
          <w:szCs w:val="28"/>
        </w:rPr>
        <w:t>Discussion on P</w:t>
      </w:r>
      <w:r w:rsidR="005336D3" w:rsidRPr="005336D3">
        <w:rPr>
          <w:rFonts w:ascii="Arial" w:hAnsi="Arial"/>
          <w:sz w:val="28"/>
          <w:szCs w:val="28"/>
        </w:rPr>
        <w:t xml:space="preserve">hysical </w:t>
      </w:r>
      <w:r w:rsidR="005336D3">
        <w:rPr>
          <w:rFonts w:ascii="Arial" w:hAnsi="Arial"/>
          <w:sz w:val="28"/>
          <w:szCs w:val="28"/>
        </w:rPr>
        <w:t>L</w:t>
      </w:r>
      <w:r w:rsidR="005336D3" w:rsidRPr="005336D3">
        <w:rPr>
          <w:rFonts w:ascii="Arial" w:hAnsi="Arial"/>
          <w:sz w:val="28"/>
          <w:szCs w:val="28"/>
        </w:rPr>
        <w:t xml:space="preserve">ayer </w:t>
      </w:r>
      <w:r w:rsidR="005336D3">
        <w:rPr>
          <w:rFonts w:ascii="Arial" w:hAnsi="Arial"/>
          <w:sz w:val="28"/>
          <w:szCs w:val="28"/>
        </w:rPr>
        <w:t>A</w:t>
      </w:r>
      <w:r w:rsidR="005336D3" w:rsidRPr="005336D3">
        <w:rPr>
          <w:rFonts w:ascii="Arial" w:hAnsi="Arial"/>
          <w:sz w:val="28"/>
          <w:szCs w:val="28"/>
        </w:rPr>
        <w:t xml:space="preserve">spects of </w:t>
      </w:r>
      <w:r w:rsidR="005336D3">
        <w:rPr>
          <w:rFonts w:ascii="Arial" w:hAnsi="Arial"/>
          <w:sz w:val="28"/>
          <w:szCs w:val="28"/>
        </w:rPr>
        <w:t>S</w:t>
      </w:r>
      <w:r w:rsidR="005336D3" w:rsidRPr="005336D3">
        <w:rPr>
          <w:rFonts w:ascii="Arial" w:hAnsi="Arial"/>
          <w:sz w:val="28"/>
          <w:szCs w:val="28"/>
        </w:rPr>
        <w:t xml:space="preserve">mall </w:t>
      </w:r>
      <w:r w:rsidR="005336D3">
        <w:rPr>
          <w:rFonts w:ascii="Arial" w:hAnsi="Arial"/>
          <w:sz w:val="28"/>
          <w:szCs w:val="28"/>
        </w:rPr>
        <w:t>D</w:t>
      </w:r>
      <w:r w:rsidR="005336D3" w:rsidRPr="005336D3">
        <w:rPr>
          <w:rFonts w:ascii="Arial" w:hAnsi="Arial"/>
          <w:sz w:val="28"/>
          <w:szCs w:val="28"/>
        </w:rPr>
        <w:t xml:space="preserve">ata </w:t>
      </w:r>
      <w:r w:rsidR="005336D3">
        <w:rPr>
          <w:rFonts w:ascii="Arial" w:hAnsi="Arial"/>
          <w:sz w:val="28"/>
          <w:szCs w:val="28"/>
        </w:rPr>
        <w:t>T</w:t>
      </w:r>
      <w:r w:rsidR="005336D3" w:rsidRPr="005336D3">
        <w:rPr>
          <w:rFonts w:ascii="Arial" w:hAnsi="Arial"/>
          <w:sz w:val="28"/>
          <w:szCs w:val="28"/>
        </w:rPr>
        <w:t>ransmission</w:t>
      </w:r>
      <w:bookmarkStart w:id="0" w:name="_GoBack"/>
      <w:bookmarkEnd w:id="0"/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4CDFAC26" w:rsidR="0096249C" w:rsidRPr="00366097" w:rsidRDefault="0096249C" w:rsidP="00F26F9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>In this contribution, we discuss</w:t>
      </w:r>
      <w:r w:rsidR="004F610D">
        <w:rPr>
          <w:rFonts w:eastAsia="바탕"/>
          <w:sz w:val="22"/>
          <w:szCs w:val="22"/>
          <w:lang w:eastAsia="ko-KR"/>
        </w:rPr>
        <w:t xml:space="preserve"> some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 w:rsidR="004F610D">
        <w:rPr>
          <w:rFonts w:eastAsia="바탕"/>
          <w:sz w:val="22"/>
          <w:szCs w:val="22"/>
          <w:lang w:eastAsia="ko-KR"/>
        </w:rPr>
        <w:t xml:space="preserve">physical layer aspects of </w:t>
      </w:r>
      <w:r w:rsidR="00466121" w:rsidRPr="00466121">
        <w:rPr>
          <w:rFonts w:eastAsia="바탕"/>
          <w:sz w:val="22"/>
          <w:szCs w:val="22"/>
          <w:lang w:eastAsia="ko-KR"/>
        </w:rPr>
        <w:t>Small Data Transmission</w:t>
      </w:r>
      <w:r w:rsidR="0014251F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469C31FF" w14:textId="51AA083A" w:rsidR="009B529A" w:rsidRDefault="009B52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RAN2 agreed that </w:t>
      </w:r>
      <w:r w:rsidRPr="009B529A">
        <w:rPr>
          <w:rFonts w:eastAsia="바탕"/>
          <w:sz w:val="22"/>
          <w:szCs w:val="22"/>
          <w:lang w:eastAsia="ko-KR"/>
        </w:rPr>
        <w:t>CG-SDT resource can be configured on either initial BWP or separate SD</w:t>
      </w:r>
      <w:r>
        <w:rPr>
          <w:rFonts w:eastAsia="바탕"/>
          <w:sz w:val="22"/>
          <w:szCs w:val="22"/>
          <w:lang w:eastAsia="ko-KR"/>
        </w:rPr>
        <w:t>T BWP and</w:t>
      </w:r>
      <w:r w:rsidRPr="009B529A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asked</w:t>
      </w:r>
      <w:r w:rsidRPr="009B529A">
        <w:rPr>
          <w:rFonts w:eastAsia="바탕"/>
          <w:sz w:val="22"/>
          <w:szCs w:val="22"/>
          <w:lang w:eastAsia="ko-KR"/>
        </w:rPr>
        <w:t xml:space="preserve"> RAN1 to confirm</w:t>
      </w:r>
      <w:r>
        <w:rPr>
          <w:rFonts w:eastAsia="바탕"/>
          <w:sz w:val="22"/>
          <w:szCs w:val="22"/>
          <w:lang w:eastAsia="ko-KR"/>
        </w:rPr>
        <w:t xml:space="preserve"> this agreement. </w:t>
      </w:r>
      <w:r w:rsidR="00466121">
        <w:rPr>
          <w:rFonts w:eastAsia="바탕" w:hint="eastAsia"/>
          <w:sz w:val="22"/>
          <w:szCs w:val="22"/>
          <w:lang w:eastAsia="ko-KR"/>
        </w:rPr>
        <w:t>I</w:t>
      </w:r>
      <w:r w:rsidR="00466121">
        <w:rPr>
          <w:rFonts w:eastAsia="바탕"/>
          <w:sz w:val="22"/>
          <w:szCs w:val="22"/>
          <w:lang w:eastAsia="ko-KR"/>
        </w:rPr>
        <w:t>n our view, w</w:t>
      </w:r>
      <w:r>
        <w:rPr>
          <w:rFonts w:eastAsia="바탕"/>
          <w:sz w:val="22"/>
          <w:szCs w:val="22"/>
          <w:lang w:eastAsia="ko-KR"/>
        </w:rPr>
        <w:t xml:space="preserve">e are fine to confirm this RAN2 agreement. We would like to </w:t>
      </w:r>
      <w:r w:rsidR="00E83E63">
        <w:rPr>
          <w:rFonts w:eastAsia="바탕"/>
          <w:sz w:val="22"/>
          <w:szCs w:val="22"/>
          <w:lang w:eastAsia="ko-KR"/>
        </w:rPr>
        <w:t>clarify</w:t>
      </w:r>
      <w:r>
        <w:rPr>
          <w:rFonts w:eastAsia="바탕"/>
          <w:sz w:val="22"/>
          <w:szCs w:val="22"/>
          <w:lang w:eastAsia="ko-KR"/>
        </w:rPr>
        <w:t xml:space="preserve"> if separate SDT BWP is applicable only for uplink or for both uplink and downlink. </w:t>
      </w:r>
      <w:r w:rsidR="00E83E63">
        <w:rPr>
          <w:rFonts w:eastAsia="바탕"/>
          <w:sz w:val="22"/>
          <w:szCs w:val="22"/>
          <w:lang w:eastAsia="ko-KR"/>
        </w:rPr>
        <w:t>In our view, it is beneficial to support separate SDT BWP for uplink and downlink. In this case, U</w:t>
      </w:r>
      <w:r w:rsidR="00E83E63" w:rsidRPr="00E83E63">
        <w:rPr>
          <w:rFonts w:eastAsia="바탕"/>
          <w:sz w:val="22"/>
          <w:szCs w:val="22"/>
          <w:lang w:eastAsia="ko-KR"/>
        </w:rPr>
        <w:t>E-specific search space for UEs performing CG-SDT</w:t>
      </w:r>
      <w:r w:rsidR="00E83E63">
        <w:rPr>
          <w:rFonts w:eastAsia="바탕"/>
          <w:sz w:val="22"/>
          <w:szCs w:val="22"/>
          <w:lang w:eastAsia="ko-KR"/>
        </w:rPr>
        <w:t xml:space="preserve"> can be configured in a separate DL SDT BWP.</w:t>
      </w:r>
    </w:p>
    <w:p w14:paraId="4FF3FE14" w14:textId="428E0A53" w:rsidR="00E83E63" w:rsidRDefault="00E83E63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</w:t>
      </w:r>
      <w:r w:rsidR="00466121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>:</w:t>
      </w:r>
      <w:r w:rsidR="007A3EE7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RAN2 agreed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 and</w:t>
      </w:r>
      <w:r>
        <w:rPr>
          <w:b/>
          <w:bCs/>
          <w:i/>
          <w:iCs/>
          <w:sz w:val="22"/>
          <w:szCs w:val="22"/>
        </w:rPr>
        <w:t xml:space="preserve"> asked</w:t>
      </w:r>
      <w:r w:rsidRPr="00B7648B">
        <w:rPr>
          <w:b/>
          <w:bCs/>
          <w:i/>
          <w:iCs/>
          <w:sz w:val="22"/>
          <w:szCs w:val="22"/>
        </w:rPr>
        <w:t xml:space="preserve"> RAN1 to confirm</w:t>
      </w:r>
      <w:r>
        <w:rPr>
          <w:b/>
          <w:bCs/>
          <w:i/>
          <w:iCs/>
          <w:sz w:val="22"/>
          <w:szCs w:val="22"/>
        </w:rPr>
        <w:t xml:space="preserve"> this agreement.</w:t>
      </w:r>
    </w:p>
    <w:p w14:paraId="5E6718CF" w14:textId="4AF4E2DE" w:rsidR="00E83E63" w:rsidRDefault="00466121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1</w:t>
      </w:r>
      <w:r w:rsidR="00E83E63">
        <w:rPr>
          <w:b/>
          <w:bCs/>
          <w:i/>
          <w:iCs/>
          <w:sz w:val="22"/>
          <w:szCs w:val="22"/>
        </w:rPr>
        <w:t xml:space="preserve">: RAN1 can confirm that </w:t>
      </w:r>
      <w:r w:rsidR="00E83E63"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="00E83E63" w:rsidRPr="00B17B43">
        <w:rPr>
          <w:b/>
          <w:bCs/>
          <w:i/>
          <w:iCs/>
          <w:sz w:val="22"/>
          <w:szCs w:val="22"/>
        </w:rPr>
        <w:t>nitial BWP or separate SDT BWP</w:t>
      </w:r>
      <w:r w:rsidR="00E83E63">
        <w:rPr>
          <w:b/>
          <w:bCs/>
          <w:i/>
          <w:iCs/>
          <w:sz w:val="22"/>
          <w:szCs w:val="22"/>
        </w:rPr>
        <w:t>.</w:t>
      </w:r>
    </w:p>
    <w:p w14:paraId="7C21E5BE" w14:textId="17D8550C" w:rsidR="00E83E63" w:rsidRDefault="00466121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2</w:t>
      </w:r>
      <w:r w:rsidR="00E83E63">
        <w:rPr>
          <w:b/>
          <w:bCs/>
          <w:i/>
          <w:iCs/>
          <w:sz w:val="22"/>
          <w:szCs w:val="22"/>
        </w:rPr>
        <w:t xml:space="preserve">: The </w:t>
      </w:r>
      <w:r w:rsidR="00E83E63" w:rsidRPr="00B17B43">
        <w:rPr>
          <w:b/>
          <w:bCs/>
          <w:i/>
          <w:iCs/>
          <w:sz w:val="22"/>
          <w:szCs w:val="22"/>
        </w:rPr>
        <w:t>separate SDT BWP</w:t>
      </w:r>
      <w:r w:rsidR="00E83E63">
        <w:rPr>
          <w:b/>
          <w:bCs/>
          <w:i/>
          <w:iCs/>
          <w:sz w:val="22"/>
          <w:szCs w:val="22"/>
        </w:rPr>
        <w:t xml:space="preserve"> can be configured for both UL and DL.</w:t>
      </w:r>
    </w:p>
    <w:p w14:paraId="5B371AE5" w14:textId="74BDD72F" w:rsidR="00E83E63" w:rsidRPr="00E83E63" w:rsidRDefault="00466121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3</w:t>
      </w:r>
      <w:r w:rsidR="00E83E63">
        <w:rPr>
          <w:b/>
          <w:bCs/>
          <w:i/>
          <w:iCs/>
          <w:sz w:val="22"/>
          <w:szCs w:val="22"/>
        </w:rPr>
        <w:t xml:space="preserve">: </w:t>
      </w:r>
      <w:r w:rsidR="00E83E63" w:rsidRPr="00E83E63">
        <w:rPr>
          <w:b/>
          <w:bCs/>
          <w:i/>
          <w:iCs/>
          <w:sz w:val="22"/>
          <w:szCs w:val="22"/>
        </w:rPr>
        <w:t>UE-specific search space for UEs performi</w:t>
      </w:r>
      <w:r w:rsidR="00E83E63">
        <w:rPr>
          <w:b/>
          <w:bCs/>
          <w:i/>
          <w:iCs/>
          <w:sz w:val="22"/>
          <w:szCs w:val="22"/>
        </w:rPr>
        <w:t>ng CG-SDT can be configured in the</w:t>
      </w:r>
      <w:r w:rsidR="00E83E63" w:rsidRPr="00E83E63">
        <w:rPr>
          <w:b/>
          <w:bCs/>
          <w:i/>
          <w:iCs/>
          <w:sz w:val="22"/>
          <w:szCs w:val="22"/>
        </w:rPr>
        <w:t xml:space="preserve"> separate DL SDT BWP.</w:t>
      </w:r>
    </w:p>
    <w:p w14:paraId="24E1BC6B" w14:textId="31F50981" w:rsidR="0014251F" w:rsidRPr="002C2DDD" w:rsidRDefault="00466121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addition, </w:t>
      </w:r>
      <w:r w:rsidR="002C2DDD">
        <w:rPr>
          <w:rFonts w:eastAsia="바탕" w:hint="eastAsia"/>
          <w:sz w:val="22"/>
          <w:szCs w:val="22"/>
          <w:lang w:eastAsia="ko-KR"/>
        </w:rPr>
        <w:t xml:space="preserve">RAN2 agreed that </w:t>
      </w:r>
      <w:r w:rsidR="002C2DDD" w:rsidRPr="002C2DDD">
        <w:rPr>
          <w:rFonts w:eastAsia="바탕"/>
          <w:sz w:val="22"/>
          <w:szCs w:val="22"/>
          <w:lang w:eastAsia="ko-KR"/>
        </w:rPr>
        <w:t xml:space="preserve">CS-RNTI based dynamic retransmission mechanism can be reused for CG-SDT. </w:t>
      </w:r>
      <w:r w:rsidR="002C2DDD">
        <w:rPr>
          <w:rFonts w:eastAsia="바탕"/>
          <w:sz w:val="22"/>
          <w:szCs w:val="22"/>
          <w:lang w:eastAsia="ko-KR"/>
        </w:rPr>
        <w:t>It is</w:t>
      </w:r>
      <w:r w:rsidR="002C2DDD" w:rsidRPr="002C2DDD">
        <w:rPr>
          <w:rFonts w:eastAsia="바탕"/>
          <w:sz w:val="22"/>
          <w:szCs w:val="22"/>
          <w:lang w:eastAsia="ko-KR"/>
        </w:rPr>
        <w:t xml:space="preserve"> FFS whether CS-RNTI is the same one as the one previously configured in RRC_CONNECTED or a new CS-RNTI one is provided to the UE</w:t>
      </w:r>
      <w:r w:rsidR="002C2DDD">
        <w:rPr>
          <w:rFonts w:eastAsia="바탕"/>
          <w:sz w:val="22"/>
          <w:szCs w:val="22"/>
          <w:lang w:eastAsia="ko-KR"/>
        </w:rPr>
        <w:t>.</w:t>
      </w:r>
    </w:p>
    <w:p w14:paraId="03430ACF" w14:textId="5A0F2C1A" w:rsidR="00E315B7" w:rsidRPr="00E315B7" w:rsidRDefault="00E83E63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8130C1">
        <w:rPr>
          <w:rFonts w:eastAsia="바탕" w:hint="eastAsia"/>
          <w:sz w:val="22"/>
          <w:szCs w:val="22"/>
          <w:lang w:eastAsia="ko-KR"/>
        </w:rPr>
        <w:t>Cons</w:t>
      </w: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8130C1">
        <w:rPr>
          <w:rFonts w:eastAsia="바탕" w:hint="eastAsia"/>
          <w:sz w:val="22"/>
          <w:szCs w:val="22"/>
          <w:lang w:eastAsia="ko-KR"/>
        </w:rPr>
        <w:t xml:space="preserve">ering </w:t>
      </w:r>
      <w:r>
        <w:rPr>
          <w:rFonts w:eastAsia="바탕"/>
          <w:sz w:val="22"/>
          <w:szCs w:val="22"/>
          <w:lang w:eastAsia="ko-KR"/>
        </w:rPr>
        <w:t xml:space="preserve">that </w:t>
      </w:r>
      <w:r w:rsidRPr="00D64A92">
        <w:rPr>
          <w:rFonts w:eastAsia="바탕"/>
          <w:sz w:val="22"/>
          <w:szCs w:val="22"/>
          <w:lang w:eastAsia="ko-KR"/>
        </w:rPr>
        <w:t>CG resources per CG configuration</w:t>
      </w:r>
      <w:r>
        <w:rPr>
          <w:rFonts w:eastAsia="바탕"/>
          <w:sz w:val="22"/>
          <w:szCs w:val="22"/>
          <w:lang w:eastAsia="ko-KR"/>
        </w:rPr>
        <w:t xml:space="preserve"> can be associated with a set of SSBs</w:t>
      </w:r>
      <w:r w:rsidR="007A3EE7">
        <w:rPr>
          <w:rFonts w:eastAsia="바탕"/>
          <w:sz w:val="22"/>
          <w:szCs w:val="22"/>
          <w:lang w:eastAsia="ko-KR"/>
        </w:rPr>
        <w:t xml:space="preserve"> and </w:t>
      </w:r>
      <w:r w:rsidR="007A3EE7" w:rsidRPr="007A3EE7">
        <w:rPr>
          <w:rFonts w:eastAsia="바탕"/>
          <w:sz w:val="22"/>
          <w:szCs w:val="22"/>
          <w:lang w:eastAsia="ko-KR"/>
        </w:rPr>
        <w:t>UE-specific search space is configured for UEs performing CG-SDT</w:t>
      </w:r>
      <w:r w:rsidR="007A3EE7">
        <w:rPr>
          <w:rFonts w:eastAsia="바탕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7A3EE7">
        <w:rPr>
          <w:rFonts w:eastAsia="바탕"/>
          <w:sz w:val="22"/>
          <w:szCs w:val="22"/>
          <w:lang w:eastAsia="ko-KR"/>
        </w:rPr>
        <w:t>w</w:t>
      </w:r>
      <w:r>
        <w:rPr>
          <w:rFonts w:eastAsia="바탕"/>
          <w:sz w:val="22"/>
          <w:szCs w:val="22"/>
          <w:lang w:eastAsia="ko-KR"/>
        </w:rPr>
        <w:t xml:space="preserve">e think that </w:t>
      </w:r>
      <w:r w:rsidRPr="00A130D9">
        <w:rPr>
          <w:rFonts w:eastAsia="바탕"/>
          <w:sz w:val="22"/>
          <w:szCs w:val="22"/>
          <w:lang w:eastAsia="ko-KR"/>
        </w:rPr>
        <w:t>the UE can assume the PDCCH carrying the DCI has the same DM-RS antenna port quasi co-location properties as for a SSB associated to the CG PUSCH transmission.</w:t>
      </w:r>
    </w:p>
    <w:p w14:paraId="0D03B953" w14:textId="14EF0F7B" w:rsidR="00E315B7" w:rsidRDefault="00E315B7" w:rsidP="00E315B7">
      <w:pPr>
        <w:ind w:left="360" w:firstLine="0"/>
        <w:rPr>
          <w:b/>
          <w:bCs/>
          <w:i/>
          <w:iCs/>
          <w:sz w:val="22"/>
          <w:szCs w:val="22"/>
        </w:rPr>
      </w:pPr>
      <w:r w:rsidRPr="009950C0">
        <w:rPr>
          <w:b/>
          <w:bCs/>
          <w:i/>
          <w:iCs/>
          <w:sz w:val="22"/>
          <w:szCs w:val="22"/>
        </w:rPr>
        <w:lastRenderedPageBreak/>
        <w:t>Proposal</w:t>
      </w:r>
      <w:r w:rsidR="00466121">
        <w:rPr>
          <w:b/>
          <w:bCs/>
          <w:i/>
          <w:iCs/>
          <w:sz w:val="22"/>
          <w:szCs w:val="22"/>
        </w:rPr>
        <w:t xml:space="preserve"> 4</w:t>
      </w:r>
      <w:r w:rsidRPr="009950C0">
        <w:rPr>
          <w:b/>
          <w:bCs/>
          <w:i/>
          <w:iCs/>
          <w:sz w:val="22"/>
          <w:szCs w:val="22"/>
        </w:rPr>
        <w:t xml:space="preserve">: </w:t>
      </w:r>
      <w:r w:rsidR="007A3EE7">
        <w:rPr>
          <w:b/>
          <w:bCs/>
          <w:i/>
          <w:iCs/>
          <w:sz w:val="22"/>
          <w:szCs w:val="22"/>
        </w:rPr>
        <w:t>For CG-SDT, t</w:t>
      </w:r>
      <w:r w:rsidRPr="009950C0">
        <w:rPr>
          <w:b/>
          <w:bCs/>
          <w:i/>
          <w:iCs/>
          <w:sz w:val="22"/>
          <w:szCs w:val="22"/>
        </w:rPr>
        <w:t>he UE can assume the PDCCH carrying the DCI has the same DM-RS antenna port quasi co-location properties as for a SSB associat</w:t>
      </w:r>
      <w:r w:rsidR="00E83E63">
        <w:rPr>
          <w:b/>
          <w:bCs/>
          <w:i/>
          <w:iCs/>
          <w:sz w:val="22"/>
          <w:szCs w:val="22"/>
        </w:rPr>
        <w:t>ed to the CG PUSCH transmission e.g.</w:t>
      </w:r>
      <w:r w:rsidR="00E83E63" w:rsidRPr="00E83E63">
        <w:rPr>
          <w:b/>
          <w:bCs/>
          <w:i/>
          <w:iCs/>
          <w:sz w:val="22"/>
          <w:szCs w:val="22"/>
        </w:rPr>
        <w:t xml:space="preserve"> </w:t>
      </w:r>
      <w:r w:rsidR="00E83E63">
        <w:rPr>
          <w:b/>
          <w:bCs/>
          <w:i/>
          <w:iCs/>
          <w:sz w:val="22"/>
          <w:szCs w:val="22"/>
        </w:rPr>
        <w:t>f</w:t>
      </w:r>
      <w:r w:rsidR="00E83E63" w:rsidRPr="009950C0">
        <w:rPr>
          <w:b/>
          <w:bCs/>
          <w:i/>
          <w:iCs/>
          <w:sz w:val="22"/>
          <w:szCs w:val="22"/>
        </w:rPr>
        <w:t>or detection of retransmission DCI in response to a CG PUSCH transmissio</w:t>
      </w:r>
      <w:r w:rsidR="007A3EE7">
        <w:rPr>
          <w:b/>
          <w:bCs/>
          <w:i/>
          <w:iCs/>
          <w:sz w:val="22"/>
          <w:szCs w:val="22"/>
        </w:rPr>
        <w:t>n.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9938FC9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 w:rsidR="00CE26FF">
        <w:rPr>
          <w:rFonts w:eastAsia="바탕"/>
          <w:sz w:val="22"/>
          <w:szCs w:val="22"/>
          <w:lang w:eastAsia="ko-KR"/>
        </w:rPr>
        <w:t xml:space="preserve">propose </w:t>
      </w:r>
      <w:r w:rsidR="00466121">
        <w:rPr>
          <w:rFonts w:eastAsia="바탕"/>
          <w:sz w:val="22"/>
          <w:szCs w:val="22"/>
          <w:lang w:eastAsia="ko-KR"/>
        </w:rPr>
        <w:t>the following proposals for</w:t>
      </w:r>
      <w:r w:rsidR="00CE26FF">
        <w:rPr>
          <w:rFonts w:eastAsia="바탕"/>
          <w:sz w:val="22"/>
          <w:szCs w:val="22"/>
          <w:lang w:eastAsia="ko-KR"/>
        </w:rPr>
        <w:t xml:space="preserve"> SDT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2449F8DA" w14:textId="77777777" w:rsidR="00466121" w:rsidRDefault="00466121" w:rsidP="00466121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1: RAN2 agreed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 and</w:t>
      </w:r>
      <w:r>
        <w:rPr>
          <w:b/>
          <w:bCs/>
          <w:i/>
          <w:iCs/>
          <w:sz w:val="22"/>
          <w:szCs w:val="22"/>
        </w:rPr>
        <w:t xml:space="preserve"> asked</w:t>
      </w:r>
      <w:r w:rsidRPr="00B7648B">
        <w:rPr>
          <w:b/>
          <w:bCs/>
          <w:i/>
          <w:iCs/>
          <w:sz w:val="22"/>
          <w:szCs w:val="22"/>
        </w:rPr>
        <w:t xml:space="preserve"> RAN1 to confirm</w:t>
      </w:r>
      <w:r>
        <w:rPr>
          <w:b/>
          <w:bCs/>
          <w:i/>
          <w:iCs/>
          <w:sz w:val="22"/>
          <w:szCs w:val="22"/>
        </w:rPr>
        <w:t xml:space="preserve"> this agreement.</w:t>
      </w:r>
    </w:p>
    <w:p w14:paraId="44DC9624" w14:textId="77777777" w:rsidR="00466121" w:rsidRDefault="00466121" w:rsidP="00466121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1: RAN1 can confirm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</w:t>
      </w:r>
      <w:r>
        <w:rPr>
          <w:b/>
          <w:bCs/>
          <w:i/>
          <w:iCs/>
          <w:sz w:val="22"/>
          <w:szCs w:val="22"/>
        </w:rPr>
        <w:t>.</w:t>
      </w:r>
    </w:p>
    <w:p w14:paraId="5D78BFD6" w14:textId="77777777" w:rsidR="00466121" w:rsidRDefault="00466121" w:rsidP="00466121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2: The </w:t>
      </w:r>
      <w:r w:rsidRPr="00B17B43">
        <w:rPr>
          <w:b/>
          <w:bCs/>
          <w:i/>
          <w:iCs/>
          <w:sz w:val="22"/>
          <w:szCs w:val="22"/>
        </w:rPr>
        <w:t>separate SDT BWP</w:t>
      </w:r>
      <w:r>
        <w:rPr>
          <w:b/>
          <w:bCs/>
          <w:i/>
          <w:iCs/>
          <w:sz w:val="22"/>
          <w:szCs w:val="22"/>
        </w:rPr>
        <w:t xml:space="preserve"> can be configured for both UL and DL.</w:t>
      </w:r>
    </w:p>
    <w:p w14:paraId="7C646FFF" w14:textId="77777777" w:rsidR="00466121" w:rsidRDefault="00466121" w:rsidP="00466121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3: </w:t>
      </w:r>
      <w:r w:rsidRPr="00E83E63">
        <w:rPr>
          <w:b/>
          <w:bCs/>
          <w:i/>
          <w:iCs/>
          <w:sz w:val="22"/>
          <w:szCs w:val="22"/>
        </w:rPr>
        <w:t>UE-specific search space for UEs performi</w:t>
      </w:r>
      <w:r>
        <w:rPr>
          <w:b/>
          <w:bCs/>
          <w:i/>
          <w:iCs/>
          <w:sz w:val="22"/>
          <w:szCs w:val="22"/>
        </w:rPr>
        <w:t>ng CG-SDT can be configured in the</w:t>
      </w:r>
      <w:r w:rsidRPr="00E83E63">
        <w:rPr>
          <w:b/>
          <w:bCs/>
          <w:i/>
          <w:iCs/>
          <w:sz w:val="22"/>
          <w:szCs w:val="22"/>
        </w:rPr>
        <w:t xml:space="preserve"> separate DL SDT BWP.</w:t>
      </w:r>
    </w:p>
    <w:p w14:paraId="3771BC19" w14:textId="2B2D9FEA" w:rsidR="00466121" w:rsidRPr="00466121" w:rsidRDefault="00466121" w:rsidP="00466121">
      <w:pPr>
        <w:ind w:left="360" w:firstLine="0"/>
        <w:rPr>
          <w:b/>
          <w:bCs/>
          <w:i/>
          <w:iCs/>
          <w:sz w:val="22"/>
          <w:szCs w:val="22"/>
        </w:rPr>
      </w:pPr>
      <w:r w:rsidRPr="009950C0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 xml:space="preserve"> 4</w:t>
      </w:r>
      <w:r w:rsidRPr="009950C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For CG-SDT, t</w:t>
      </w:r>
      <w:r w:rsidRPr="009950C0">
        <w:rPr>
          <w:b/>
          <w:bCs/>
          <w:i/>
          <w:iCs/>
          <w:sz w:val="22"/>
          <w:szCs w:val="22"/>
        </w:rPr>
        <w:t>he UE can assume the PDCCH carrying the DCI has the same DM-RS antenna port quasi co-location properties as for a SSB associat</w:t>
      </w:r>
      <w:r>
        <w:rPr>
          <w:b/>
          <w:bCs/>
          <w:i/>
          <w:iCs/>
          <w:sz w:val="22"/>
          <w:szCs w:val="22"/>
        </w:rPr>
        <w:t>ed to the CG PUSCH transmission e.g.</w:t>
      </w:r>
      <w:r w:rsidRPr="00E83E63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</w:t>
      </w:r>
      <w:r w:rsidRPr="009950C0">
        <w:rPr>
          <w:b/>
          <w:bCs/>
          <w:i/>
          <w:iCs/>
          <w:sz w:val="22"/>
          <w:szCs w:val="22"/>
        </w:rPr>
        <w:t>or detection of retransmission DCI in response to a CG PUSCH transmissio</w:t>
      </w:r>
      <w:r>
        <w:rPr>
          <w:b/>
          <w:bCs/>
          <w:i/>
          <w:iCs/>
          <w:sz w:val="22"/>
          <w:szCs w:val="22"/>
        </w:rPr>
        <w:t>n.</w:t>
      </w:r>
    </w:p>
    <w:p w14:paraId="488409CB" w14:textId="105CB139" w:rsidR="00BF245B" w:rsidRPr="00E315B7" w:rsidRDefault="00BF245B" w:rsidP="00E315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sectPr w:rsidR="00BF245B" w:rsidRPr="00E315B7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AABF3" w14:textId="77777777" w:rsidR="00D21D42" w:rsidRDefault="00D21D42" w:rsidP="00CB15B0">
      <w:pPr>
        <w:spacing w:before="0" w:after="0" w:line="240" w:lineRule="auto"/>
      </w:pPr>
      <w:r>
        <w:separator/>
      </w:r>
    </w:p>
  </w:endnote>
  <w:endnote w:type="continuationSeparator" w:id="0">
    <w:p w14:paraId="66E5F4DF" w14:textId="77777777" w:rsidR="00D21D42" w:rsidRDefault="00D21D4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C87B" w14:textId="77777777" w:rsidR="00D21D42" w:rsidRDefault="00D21D4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CF94C34" w14:textId="77777777" w:rsidR="00D21D42" w:rsidRDefault="00D21D4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7DF0"/>
    <w:multiLevelType w:val="hybridMultilevel"/>
    <w:tmpl w:val="6EB0E2E0"/>
    <w:lvl w:ilvl="0" w:tplc="04090001">
      <w:start w:val="1"/>
      <w:numFmt w:val="bullet"/>
      <w:lvlText w:val="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0FC1F58"/>
    <w:multiLevelType w:val="hybridMultilevel"/>
    <w:tmpl w:val="787EF3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3D7200A9"/>
    <w:multiLevelType w:val="hybridMultilevel"/>
    <w:tmpl w:val="294806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>
    <w:nsid w:val="51E46A6B"/>
    <w:multiLevelType w:val="hybridMultilevel"/>
    <w:tmpl w:val="D83C02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68C8064D"/>
    <w:multiLevelType w:val="hybridMultilevel"/>
    <w:tmpl w:val="C818CABE"/>
    <w:lvl w:ilvl="0" w:tplc="7A3CE806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>
    <w:nsid w:val="69437BB3"/>
    <w:multiLevelType w:val="hybridMultilevel"/>
    <w:tmpl w:val="A3BA8F0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F0F986">
      <w:numFmt w:val="bullet"/>
      <w:lvlText w:val=""/>
      <w:lvlJc w:val="left"/>
      <w:pPr>
        <w:ind w:left="1839" w:hanging="579"/>
      </w:pPr>
      <w:rPr>
        <w:rFonts w:ascii="Wingdings" w:eastAsia="바탕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3"/>
  </w:num>
  <w:num w:numId="5">
    <w:abstractNumId w:val="12"/>
  </w:num>
  <w:num w:numId="6">
    <w:abstractNumId w:val="18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7"/>
  </w:num>
  <w:num w:numId="13">
    <w:abstractNumId w:val="14"/>
  </w:num>
  <w:num w:numId="14">
    <w:abstractNumId w:val="16"/>
  </w:num>
  <w:num w:numId="15">
    <w:abstractNumId w:val="1"/>
  </w:num>
  <w:num w:numId="16">
    <w:abstractNumId w:val="4"/>
  </w:num>
  <w:num w:numId="17">
    <w:abstractNumId w:val="3"/>
  </w:num>
  <w:num w:numId="18">
    <w:abstractNumId w:val="4"/>
  </w:num>
  <w:num w:numId="19">
    <w:abstractNumId w:val="3"/>
  </w:num>
  <w:num w:numId="20">
    <w:abstractNumId w:val="2"/>
  </w:num>
  <w:num w:numId="21">
    <w:abstractNumId w:val="11"/>
  </w:num>
  <w:num w:numId="22">
    <w:abstractNumId w:val="3"/>
  </w:num>
  <w:num w:numId="23">
    <w:abstractNumId w:val="13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01F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53A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758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1F1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747"/>
    <w:rsid w:val="000B2A7E"/>
    <w:rsid w:val="000B30BD"/>
    <w:rsid w:val="000B321E"/>
    <w:rsid w:val="000B33E8"/>
    <w:rsid w:val="000B3410"/>
    <w:rsid w:val="000B3608"/>
    <w:rsid w:val="000B3D69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96A"/>
    <w:rsid w:val="000F5BC1"/>
    <w:rsid w:val="000F5FFD"/>
    <w:rsid w:val="000F6195"/>
    <w:rsid w:val="000F66B8"/>
    <w:rsid w:val="000F6A4D"/>
    <w:rsid w:val="000F6AEF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1F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1D8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10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5B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7C5"/>
    <w:rsid w:val="001B096C"/>
    <w:rsid w:val="001B0E30"/>
    <w:rsid w:val="001B0E41"/>
    <w:rsid w:val="001B10E2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1F7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2B8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01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221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4EA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69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1CE"/>
    <w:rsid w:val="0023440B"/>
    <w:rsid w:val="002347E6"/>
    <w:rsid w:val="002352DD"/>
    <w:rsid w:val="00235396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8CC"/>
    <w:rsid w:val="00267D6C"/>
    <w:rsid w:val="002706C6"/>
    <w:rsid w:val="00270EF9"/>
    <w:rsid w:val="00271F85"/>
    <w:rsid w:val="0027224D"/>
    <w:rsid w:val="00272632"/>
    <w:rsid w:val="0027491D"/>
    <w:rsid w:val="002749B8"/>
    <w:rsid w:val="00276581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97F3F"/>
    <w:rsid w:val="002A0CDD"/>
    <w:rsid w:val="002A18D0"/>
    <w:rsid w:val="002A2018"/>
    <w:rsid w:val="002A2038"/>
    <w:rsid w:val="002A2AE5"/>
    <w:rsid w:val="002A2D36"/>
    <w:rsid w:val="002A3F1F"/>
    <w:rsid w:val="002A42F5"/>
    <w:rsid w:val="002A4724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392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02"/>
    <w:rsid w:val="002C2BE8"/>
    <w:rsid w:val="002C2DDD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1B78"/>
    <w:rsid w:val="002E220D"/>
    <w:rsid w:val="002E244F"/>
    <w:rsid w:val="002E2665"/>
    <w:rsid w:val="002E2B12"/>
    <w:rsid w:val="002E2B5C"/>
    <w:rsid w:val="002E2FC0"/>
    <w:rsid w:val="002E3296"/>
    <w:rsid w:val="002E37C3"/>
    <w:rsid w:val="002E3AE2"/>
    <w:rsid w:val="002E3F11"/>
    <w:rsid w:val="002E421E"/>
    <w:rsid w:val="002E519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98A"/>
    <w:rsid w:val="00303B37"/>
    <w:rsid w:val="00303BCA"/>
    <w:rsid w:val="00303E9E"/>
    <w:rsid w:val="003049E9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204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26D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36D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3E0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A15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04C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3F1"/>
    <w:rsid w:val="00443766"/>
    <w:rsid w:val="0044388D"/>
    <w:rsid w:val="00443C47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4B3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1D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121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09D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57A2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AE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0C8"/>
    <w:rsid w:val="004E66E1"/>
    <w:rsid w:val="004E6B76"/>
    <w:rsid w:val="004E78D9"/>
    <w:rsid w:val="004F04CF"/>
    <w:rsid w:val="004F0999"/>
    <w:rsid w:val="004F0BEB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10D"/>
    <w:rsid w:val="004F65B3"/>
    <w:rsid w:val="004F6974"/>
    <w:rsid w:val="004F6B77"/>
    <w:rsid w:val="004F761F"/>
    <w:rsid w:val="004F7631"/>
    <w:rsid w:val="004F766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6D3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42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1A9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6B9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307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EEE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50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6F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99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8C0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B9F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87C7C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8F4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D84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77A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EE7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2C8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04F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9F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0C1"/>
    <w:rsid w:val="00813616"/>
    <w:rsid w:val="00813AD1"/>
    <w:rsid w:val="00813D35"/>
    <w:rsid w:val="00813FB0"/>
    <w:rsid w:val="0081461D"/>
    <w:rsid w:val="00814796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CC6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BB2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3EB8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BD1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812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1BF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4C2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4CA"/>
    <w:rsid w:val="00925639"/>
    <w:rsid w:val="00925989"/>
    <w:rsid w:val="00925DD2"/>
    <w:rsid w:val="00925DE8"/>
    <w:rsid w:val="0092617F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2C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6C66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87EAF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0C0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8AC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529A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D1B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C57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0CEC"/>
    <w:rsid w:val="00A11085"/>
    <w:rsid w:val="00A116A6"/>
    <w:rsid w:val="00A12D35"/>
    <w:rsid w:val="00A13022"/>
    <w:rsid w:val="00A130D9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75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3AC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5C1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3A8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776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036"/>
    <w:rsid w:val="00AB4229"/>
    <w:rsid w:val="00AB44C3"/>
    <w:rsid w:val="00AB450D"/>
    <w:rsid w:val="00AB4627"/>
    <w:rsid w:val="00AB4991"/>
    <w:rsid w:val="00AB5264"/>
    <w:rsid w:val="00AB54B3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3A6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62"/>
    <w:rsid w:val="00B153DD"/>
    <w:rsid w:val="00B16293"/>
    <w:rsid w:val="00B16E92"/>
    <w:rsid w:val="00B170A9"/>
    <w:rsid w:val="00B17B43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1F3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91D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B63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45B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3FD8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6FF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4C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1D42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A92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C86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BDC"/>
    <w:rsid w:val="00D85E48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7B4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83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5B7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3D9"/>
    <w:rsid w:val="00E807B0"/>
    <w:rsid w:val="00E80C0B"/>
    <w:rsid w:val="00E8118F"/>
    <w:rsid w:val="00E81981"/>
    <w:rsid w:val="00E82676"/>
    <w:rsid w:val="00E82EDE"/>
    <w:rsid w:val="00E8336F"/>
    <w:rsid w:val="00E83A81"/>
    <w:rsid w:val="00E83E63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2EF9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281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047"/>
    <w:rsid w:val="00F03302"/>
    <w:rsid w:val="00F0360E"/>
    <w:rsid w:val="00F04171"/>
    <w:rsid w:val="00F04FD0"/>
    <w:rsid w:val="00F0527B"/>
    <w:rsid w:val="00F055CD"/>
    <w:rsid w:val="00F05C4D"/>
    <w:rsid w:val="00F067A2"/>
    <w:rsid w:val="00F069BD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1F0A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6F98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7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3C3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7A5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4D59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80E42-1E26-45D3-AC63-04E82DB6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2</cp:revision>
  <cp:lastPrinted>2018-11-01T13:47:00Z</cp:lastPrinted>
  <dcterms:created xsi:type="dcterms:W3CDTF">2021-10-01T11:43:00Z</dcterms:created>
  <dcterms:modified xsi:type="dcterms:W3CDTF">2021-10-01T11:43:00Z</dcterms:modified>
</cp:coreProperties>
</file>